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04"/>
        <w:gridCol w:w="1818"/>
        <w:gridCol w:w="2040"/>
      </w:tblGrid>
      <w:tr w:rsidR="007F0976" w14:paraId="4DBB9037" w14:textId="77777777" w:rsidTr="004D10B2">
        <w:trPr>
          <w:trHeight w:val="723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1383" w:type="dxa"/>
            <w:vAlign w:val="center"/>
          </w:tcPr>
          <w:p w14:paraId="0274966D" w14:textId="03A412D9" w:rsidR="007F0976" w:rsidRPr="001B12EA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9F0C45">
              <w:rPr>
                <w:b/>
                <w:i w:val="0"/>
                <w:color w:val="auto"/>
                <w:sz w:val="40"/>
              </w:rPr>
              <w:t>5</w:t>
            </w:r>
          </w:p>
        </w:tc>
      </w:tr>
      <w:tr w:rsidR="007F0976" w14:paraId="24BDD9AA" w14:textId="77777777" w:rsidTr="004D10B2">
        <w:trPr>
          <w:trHeight w:val="298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1383" w:type="dxa"/>
            <w:vAlign w:val="center"/>
          </w:tcPr>
          <w:p w14:paraId="2AD76802" w14:textId="306D3279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4D10B2">
              <w:rPr>
                <w:b/>
                <w:sz w:val="24"/>
                <w:szCs w:val="24"/>
              </w:rPr>
              <w:t>15.</w:t>
            </w:r>
            <w:r w:rsidR="003B1723" w:rsidRPr="004D10B2">
              <w:rPr>
                <w:b/>
                <w:sz w:val="24"/>
                <w:szCs w:val="24"/>
              </w:rPr>
              <w:t>1</w:t>
            </w:r>
            <w:r w:rsidRPr="004D10B2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361834">
        <w:trPr>
          <w:trHeight w:val="660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3DA53AB0" w:rsidR="007F0976" w:rsidRDefault="00762F29">
            <w:r>
              <w:t>Na Harfě 337/3</w:t>
            </w:r>
            <w:r w:rsidR="00863684">
              <w:t xml:space="preserve">, </w:t>
            </w:r>
            <w:r>
              <w:t>190 00 Praha 9 - Czech Republic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1383" w:type="dxa"/>
            <w:vAlign w:val="center"/>
          </w:tcPr>
          <w:p w14:paraId="2D8E08E8" w14:textId="06C94064" w:rsidR="005A40E5" w:rsidRPr="00FC1C8C" w:rsidRDefault="00762F29" w:rsidP="004D10B2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4D10B2">
        <w:trPr>
          <w:trHeight w:val="201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61834">
        <w:tc>
          <w:tcPr>
            <w:tcW w:w="5967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71B7F69F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863684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4D10B2"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  <w:vAlign w:val="center"/>
          </w:tcPr>
          <w:p w14:paraId="46AE320B" w14:textId="76A794A5" w:rsidR="008A242F" w:rsidRPr="004D10B2" w:rsidRDefault="00BF3298" w:rsidP="001B15D5">
            <w:pPr>
              <w:keepNext/>
              <w:rPr>
                <w:b/>
                <w:highlight w:val="yellow"/>
              </w:rPr>
            </w:pPr>
            <w:r w:rsidRPr="004D10B2">
              <w:rPr>
                <w:b/>
              </w:rPr>
              <w:t>4</w:t>
            </w:r>
            <w:r w:rsidR="004D10B2" w:rsidRPr="004D10B2">
              <w:rPr>
                <w:b/>
              </w:rPr>
              <w:t>)</w:t>
            </w:r>
            <w:r w:rsidRPr="004D10B2">
              <w:rPr>
                <w:b/>
              </w:rPr>
              <w:t xml:space="preserve"> Holé Vrchy</w:t>
            </w:r>
            <w:r w:rsidR="00FD6404" w:rsidRPr="004D10B2">
              <w:rPr>
                <w:b/>
              </w:rPr>
              <w:t>,</w:t>
            </w:r>
            <w:r w:rsidR="003B1723" w:rsidRPr="004D10B2">
              <w:rPr>
                <w:b/>
              </w:rPr>
              <w:t xml:space="preserve"> výstavba kanalizace</w:t>
            </w:r>
            <w:r w:rsidR="008745BB" w:rsidRPr="004D10B2">
              <w:rPr>
                <w:b/>
              </w:rPr>
              <w:t xml:space="preserve"> </w:t>
            </w:r>
            <w:r w:rsidR="004D10B2">
              <w:rPr>
                <w:b/>
              </w:rPr>
              <w:t>–</w:t>
            </w:r>
            <w:r w:rsidR="009F0C45" w:rsidRPr="004D10B2">
              <w:rPr>
                <w:b/>
              </w:rPr>
              <w:t xml:space="preserve"> </w:t>
            </w:r>
            <w:r w:rsidR="004D10B2">
              <w:rPr>
                <w:b/>
              </w:rPr>
              <w:t xml:space="preserve">místní </w:t>
            </w:r>
            <w:bookmarkStart w:id="1" w:name="_GoBack"/>
            <w:bookmarkEnd w:id="1"/>
            <w:r w:rsidR="009F0C45" w:rsidRPr="004D10B2">
              <w:rPr>
                <w:b/>
              </w:rPr>
              <w:t>komunikace</w:t>
            </w:r>
          </w:p>
        </w:tc>
      </w:tr>
      <w:tr w:rsidR="00361834" w14:paraId="238C9C7D" w14:textId="77777777" w:rsidTr="004D10B2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3C8FF8BC" w:rsidR="00361834" w:rsidRDefault="00217C60" w:rsidP="0007765F">
            <w:pPr>
              <w:keepNext/>
            </w:pPr>
            <w:r>
              <w:t>Změna způsobu a rozsahu oprav místních komunikací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400794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400794">
              <w:rPr>
                <w:b/>
                <w:sz w:val="24"/>
                <w:szCs w:val="24"/>
              </w:rPr>
              <w:t>Popis změny, technického řešení:</w:t>
            </w:r>
          </w:p>
          <w:p w14:paraId="591C32DB" w14:textId="397D17BD" w:rsidR="000618B1" w:rsidRPr="00400794" w:rsidRDefault="009467B5" w:rsidP="0007765F">
            <w:pPr>
              <w:keepNext/>
              <w:spacing w:line="240" w:lineRule="atLeast"/>
            </w:pPr>
            <w:r w:rsidRPr="00400794">
              <w:t xml:space="preserve">Položka </w:t>
            </w:r>
            <w:proofErr w:type="gramStart"/>
            <w:r w:rsidRPr="00400794">
              <w:t xml:space="preserve">č.1 – </w:t>
            </w:r>
            <w:r w:rsidR="00400794" w:rsidRPr="00400794">
              <w:t>Odstranění</w:t>
            </w:r>
            <w:proofErr w:type="gramEnd"/>
            <w:r w:rsidR="00400794" w:rsidRPr="00400794">
              <w:t xml:space="preserve"> podkladních vrstev místních komunikací a provedení podkladní vrstvy z KSC v rýze komunikací, kde finální vrstvy prováděl</w:t>
            </w:r>
            <w:r w:rsidR="00217C60">
              <w:t xml:space="preserve"> dodavatel města Dobrovice</w:t>
            </w:r>
          </w:p>
          <w:p w14:paraId="3E7C6690" w14:textId="29E3FE63" w:rsidR="009467B5" w:rsidRPr="00400794" w:rsidRDefault="009467B5" w:rsidP="0007765F">
            <w:pPr>
              <w:keepNext/>
              <w:spacing w:line="240" w:lineRule="atLeast"/>
            </w:pPr>
            <w:r w:rsidRPr="00400794">
              <w:t xml:space="preserve">Položka </w:t>
            </w:r>
            <w:proofErr w:type="gramStart"/>
            <w:r w:rsidRPr="00400794">
              <w:t xml:space="preserve">č.2 – </w:t>
            </w:r>
            <w:r w:rsidR="00400794" w:rsidRPr="00400794">
              <w:t>odpočet</w:t>
            </w:r>
            <w:proofErr w:type="gramEnd"/>
            <w:r w:rsidR="00400794" w:rsidRPr="00400794">
              <w:t xml:space="preserve"> neprováděných oprav místních komunikací na základě požadavku objednatele a vlastníka     </w:t>
            </w:r>
          </w:p>
          <w:p w14:paraId="1BF2E672" w14:textId="46C5E52C" w:rsidR="009467B5" w:rsidRDefault="009467B5" w:rsidP="0007765F">
            <w:pPr>
              <w:keepNext/>
              <w:spacing w:line="240" w:lineRule="atLeast"/>
            </w:pPr>
            <w:r w:rsidRPr="00400794">
              <w:t xml:space="preserve">Položka </w:t>
            </w:r>
            <w:proofErr w:type="gramStart"/>
            <w:r w:rsidRPr="00400794">
              <w:t xml:space="preserve">č.3 – </w:t>
            </w:r>
            <w:r w:rsidR="00400794" w:rsidRPr="00400794">
              <w:t>Přípočet</w:t>
            </w:r>
            <w:proofErr w:type="gramEnd"/>
            <w:r w:rsidR="00400794" w:rsidRPr="00400794">
              <w:t xml:space="preserve"> provedených víceprací na místních komunikacích dle požadavku objednatele a vlastníka komunikace</w:t>
            </w:r>
            <w:r w:rsidR="00217C60">
              <w:t xml:space="preserve"> metodou studené recyklace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807332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807332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C0EB366" w14:textId="5E506ECC" w:rsidR="002B5892" w:rsidRPr="00807332" w:rsidRDefault="009467B5" w:rsidP="0007765F">
            <w:pPr>
              <w:jc w:val="both"/>
            </w:pPr>
            <w:r w:rsidRPr="00807332">
              <w:t xml:space="preserve">Položka č.1 - </w:t>
            </w:r>
            <w:r w:rsidR="00400794" w:rsidRPr="00807332">
              <w:t xml:space="preserve">nebylo předmětem PD ani VV </w:t>
            </w:r>
          </w:p>
          <w:p w14:paraId="5ACC5CF6" w14:textId="79AEB0B8" w:rsidR="009467B5" w:rsidRPr="00807332" w:rsidRDefault="009467B5" w:rsidP="0007765F">
            <w:pPr>
              <w:jc w:val="both"/>
            </w:pPr>
            <w:r w:rsidRPr="00807332">
              <w:t xml:space="preserve">Položka </w:t>
            </w:r>
            <w:proofErr w:type="gramStart"/>
            <w:r w:rsidRPr="00807332">
              <w:t xml:space="preserve">č.2 </w:t>
            </w:r>
            <w:r w:rsidR="00400794" w:rsidRPr="00807332">
              <w:t>- oprava</w:t>
            </w:r>
            <w:proofErr w:type="gramEnd"/>
            <w:r w:rsidR="00400794" w:rsidRPr="00807332">
              <w:t xml:space="preserve"> místních komunikací pouze nad rýhou + rozšíření obrusných vrstev asfaltů dle PD – prováděno jiným dodavatelem</w:t>
            </w:r>
            <w:r w:rsidR="00217C60">
              <w:t xml:space="preserve"> města</w:t>
            </w:r>
            <w:r w:rsidR="00400794" w:rsidRPr="00807332">
              <w:t xml:space="preserve"> </w:t>
            </w:r>
          </w:p>
          <w:p w14:paraId="4E1AFF7E" w14:textId="0A0E3144" w:rsidR="009467B5" w:rsidRPr="00807332" w:rsidRDefault="009467B5" w:rsidP="0007765F">
            <w:pPr>
              <w:jc w:val="both"/>
            </w:pPr>
            <w:r w:rsidRPr="00807332">
              <w:t xml:space="preserve">Položka č.3 – </w:t>
            </w:r>
            <w:r w:rsidR="00400794" w:rsidRPr="00807332">
              <w:t>oprava místních komunikací pouze nad rýhou + rozšíření obrusných vrstev asfaltů dle PD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69251AF5" w14:textId="3CA985E7" w:rsidR="00807332" w:rsidRDefault="002920DE" w:rsidP="002B5892">
            <w:r w:rsidRPr="00807332">
              <w:t>P</w:t>
            </w:r>
            <w:r w:rsidR="009419EA" w:rsidRPr="00807332">
              <w:t>o</w:t>
            </w:r>
            <w:r w:rsidR="009467B5" w:rsidRPr="00807332">
              <w:t xml:space="preserve">ložka </w:t>
            </w:r>
            <w:proofErr w:type="gramStart"/>
            <w:r w:rsidR="009467B5" w:rsidRPr="00807332">
              <w:t>č.1 –</w:t>
            </w:r>
            <w:r w:rsidR="00807332" w:rsidRPr="00807332">
              <w:t xml:space="preserve"> bude</w:t>
            </w:r>
            <w:proofErr w:type="gramEnd"/>
            <w:r w:rsidR="00807332" w:rsidRPr="00807332">
              <w:t xml:space="preserve"> provedeno odstranění podkladních vrstev v mocnosti 150 mm a bude nahrazeno KSC o stejné mocnosti</w:t>
            </w:r>
            <w:r w:rsidR="00217C60">
              <w:t>, následně provede město Dobrovice jiným dodavatelem celoplošnou opravu místní komunikace</w:t>
            </w:r>
            <w:r w:rsidR="00807332" w:rsidRPr="00807332">
              <w:t xml:space="preserve"> </w:t>
            </w:r>
          </w:p>
          <w:p w14:paraId="20A2311F" w14:textId="75642760" w:rsidR="00A9596A" w:rsidRPr="00807332" w:rsidRDefault="00A9596A" w:rsidP="002B5892">
            <w:r w:rsidRPr="00807332">
              <w:t xml:space="preserve">Položka </w:t>
            </w:r>
            <w:proofErr w:type="gramStart"/>
            <w:r w:rsidRPr="00807332">
              <w:t xml:space="preserve">č.2 – </w:t>
            </w:r>
            <w:r w:rsidR="00807332" w:rsidRPr="00807332">
              <w:t>asfaltové</w:t>
            </w:r>
            <w:proofErr w:type="gramEnd"/>
            <w:r w:rsidR="00807332" w:rsidRPr="00807332">
              <w:t xml:space="preserve"> souvrství prováděl jiný dodavatel</w:t>
            </w:r>
            <w:r w:rsidR="00217C60">
              <w:t xml:space="preserve"> města</w:t>
            </w:r>
          </w:p>
          <w:p w14:paraId="6D76C17E" w14:textId="4A4CDBC4" w:rsidR="002B5892" w:rsidRPr="00807332" w:rsidRDefault="00A9596A" w:rsidP="002B5892">
            <w:r w:rsidRPr="00807332">
              <w:t xml:space="preserve">Položka </w:t>
            </w:r>
            <w:proofErr w:type="gramStart"/>
            <w:r w:rsidRPr="00807332">
              <w:t xml:space="preserve">č.3 – </w:t>
            </w:r>
            <w:r w:rsidR="00807332" w:rsidRPr="00807332">
              <w:t>Celková</w:t>
            </w:r>
            <w:proofErr w:type="gramEnd"/>
            <w:r w:rsidR="00807332" w:rsidRPr="00807332">
              <w:t xml:space="preserve"> cena stanovena dle skutečně provedených prací a geodetického zaměření 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807332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807332">
              <w:rPr>
                <w:b/>
                <w:sz w:val="24"/>
                <w:szCs w:val="24"/>
              </w:rPr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BC31BA5" w14:textId="58F4AC0D" w:rsidR="00B31807" w:rsidRPr="00807332" w:rsidRDefault="002920DE" w:rsidP="00B31807">
            <w:r w:rsidRPr="00807332">
              <w:t>Po</w:t>
            </w:r>
            <w:r w:rsidR="00A9596A" w:rsidRPr="00807332">
              <w:t xml:space="preserve">ložka </w:t>
            </w:r>
            <w:proofErr w:type="gramStart"/>
            <w:r w:rsidR="00A9596A" w:rsidRPr="00807332">
              <w:t>č.1 - po</w:t>
            </w:r>
            <w:r w:rsidRPr="00807332">
              <w:t>žadavek</w:t>
            </w:r>
            <w:proofErr w:type="gramEnd"/>
            <w:r w:rsidRPr="00807332">
              <w:t xml:space="preserve"> o</w:t>
            </w:r>
            <w:r w:rsidR="00A9596A" w:rsidRPr="00807332">
              <w:t>bjednatel a vlastníka provést jiný rozsah oprav komunikací na podprojektu</w:t>
            </w:r>
            <w:r w:rsidR="00217C60">
              <w:t xml:space="preserve"> s ohledem na to, že město následně provedlo svým dodavatelem celoplošnou opravu povrchu místní komunikace</w:t>
            </w:r>
          </w:p>
          <w:p w14:paraId="5FE33B0D" w14:textId="2C2DC895" w:rsidR="00A9596A" w:rsidRPr="00807332" w:rsidRDefault="00A9596A" w:rsidP="00B31807">
            <w:r w:rsidRPr="00807332">
              <w:t xml:space="preserve">Položka </w:t>
            </w:r>
            <w:proofErr w:type="gramStart"/>
            <w:r w:rsidRPr="00807332">
              <w:t>č.2 – skutečný</w:t>
            </w:r>
            <w:proofErr w:type="gramEnd"/>
            <w:r w:rsidRPr="00807332">
              <w:t xml:space="preserve"> rozsah </w:t>
            </w:r>
            <w:r w:rsidR="00807332">
              <w:t>ne</w:t>
            </w:r>
            <w:r w:rsidRPr="00807332">
              <w:t>provedených prací</w:t>
            </w:r>
          </w:p>
          <w:p w14:paraId="0327295B" w14:textId="3ECCB400" w:rsidR="00A9596A" w:rsidRPr="00807332" w:rsidRDefault="00A9596A" w:rsidP="00B31807">
            <w:r w:rsidRPr="00807332">
              <w:t xml:space="preserve">Položka </w:t>
            </w:r>
            <w:proofErr w:type="gramStart"/>
            <w:r w:rsidRPr="00807332">
              <w:t xml:space="preserve">č.3 – </w:t>
            </w:r>
            <w:r w:rsidR="00807332" w:rsidRPr="00807332">
              <w:t>celková</w:t>
            </w:r>
            <w:proofErr w:type="gramEnd"/>
            <w:r w:rsidR="00807332" w:rsidRPr="00807332">
              <w:t xml:space="preserve"> cena stanovena dle skutečně provedených prací, dle požadavku obce a investora</w:t>
            </w:r>
            <w:r w:rsidR="00217C60">
              <w:t xml:space="preserve"> metodou studené recyklace v celé ploše místní komunikace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tbl>
      <w:tblPr>
        <w:tblStyle w:val="Mkatabulky"/>
        <w:tblW w:w="9310" w:type="dxa"/>
        <w:tblLook w:val="04A0" w:firstRow="1" w:lastRow="0" w:firstColumn="1" w:lastColumn="0" w:noHBand="0" w:noVBand="1"/>
      </w:tblPr>
      <w:tblGrid>
        <w:gridCol w:w="2152"/>
        <w:gridCol w:w="1764"/>
        <w:gridCol w:w="1764"/>
        <w:gridCol w:w="1828"/>
        <w:gridCol w:w="1764"/>
        <w:gridCol w:w="28"/>
        <w:gridCol w:w="10"/>
      </w:tblGrid>
      <w:tr w:rsidR="004824A6" w14:paraId="2BC75B16" w14:textId="77777777" w:rsidTr="004D10B2">
        <w:trPr>
          <w:gridAfter w:val="1"/>
          <w:wAfter w:w="10" w:type="dxa"/>
        </w:trPr>
        <w:tc>
          <w:tcPr>
            <w:tcW w:w="215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3F247" w14:textId="09575112" w:rsidR="004824A6" w:rsidRDefault="00CE2ECD" w:rsidP="00B21F38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8468" w14:textId="77777777" w:rsidR="004824A6" w:rsidRDefault="004824A6" w:rsidP="00B21F38">
            <w:pPr>
              <w:keepNext/>
              <w:jc w:val="center"/>
            </w:pPr>
            <w:r>
              <w:t>Vícepráce</w:t>
            </w:r>
          </w:p>
        </w:tc>
        <w:tc>
          <w:tcPr>
            <w:tcW w:w="3620" w:type="dxa"/>
            <w:gridSpan w:val="3"/>
            <w:tcBorders>
              <w:top w:val="single" w:sz="4" w:space="0" w:color="auto"/>
            </w:tcBorders>
            <w:vAlign w:val="center"/>
          </w:tcPr>
          <w:p w14:paraId="22EE51DD" w14:textId="77777777" w:rsidR="004824A6" w:rsidRDefault="004824A6" w:rsidP="00B21F38">
            <w:pPr>
              <w:keepNext/>
              <w:jc w:val="center"/>
            </w:pPr>
            <w:proofErr w:type="spellStart"/>
            <w:r>
              <w:t>Méněpráce</w:t>
            </w:r>
            <w:proofErr w:type="spellEnd"/>
          </w:p>
        </w:tc>
      </w:tr>
      <w:tr w:rsidR="004824A6" w14:paraId="113953AD" w14:textId="77777777" w:rsidTr="004D10B2">
        <w:trPr>
          <w:gridAfter w:val="2"/>
          <w:wAfter w:w="38" w:type="dxa"/>
        </w:trPr>
        <w:tc>
          <w:tcPr>
            <w:tcW w:w="2152" w:type="dxa"/>
            <w:vMerge/>
            <w:tcBorders>
              <w:right w:val="single" w:sz="4" w:space="0" w:color="auto"/>
            </w:tcBorders>
          </w:tcPr>
          <w:p w14:paraId="19FE1FA1" w14:textId="77777777" w:rsidR="004824A6" w:rsidRDefault="004824A6" w:rsidP="00B21F38">
            <w:pPr>
              <w:keepNext/>
            </w:pPr>
          </w:p>
        </w:tc>
        <w:tc>
          <w:tcPr>
            <w:tcW w:w="1764" w:type="dxa"/>
            <w:tcBorders>
              <w:left w:val="single" w:sz="4" w:space="0" w:color="auto"/>
            </w:tcBorders>
            <w:vAlign w:val="center"/>
          </w:tcPr>
          <w:p w14:paraId="451025A6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64" w:type="dxa"/>
            <w:vAlign w:val="center"/>
          </w:tcPr>
          <w:p w14:paraId="17813A0F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  <w:tc>
          <w:tcPr>
            <w:tcW w:w="1828" w:type="dxa"/>
            <w:vAlign w:val="center"/>
          </w:tcPr>
          <w:p w14:paraId="539D0260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64" w:type="dxa"/>
            <w:vAlign w:val="center"/>
          </w:tcPr>
          <w:p w14:paraId="49710E2B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</w:tr>
      <w:tr w:rsidR="004824A6" w14:paraId="2D04304C" w14:textId="77777777" w:rsidTr="004D10B2">
        <w:trPr>
          <w:gridAfter w:val="2"/>
          <w:wAfter w:w="38" w:type="dxa"/>
        </w:trPr>
        <w:tc>
          <w:tcPr>
            <w:tcW w:w="2152" w:type="dxa"/>
          </w:tcPr>
          <w:p w14:paraId="5F4BD555" w14:textId="5D6522BD" w:rsidR="004824A6" w:rsidRDefault="004824A6">
            <w:pPr>
              <w:keepNext/>
            </w:pPr>
            <w:r>
              <w:t>stavební náklady</w:t>
            </w:r>
            <w:r w:rsidR="00C079C3">
              <w:t xml:space="preserve"> způsobilé</w:t>
            </w:r>
          </w:p>
        </w:tc>
        <w:tc>
          <w:tcPr>
            <w:tcW w:w="1764" w:type="dxa"/>
            <w:vAlign w:val="center"/>
          </w:tcPr>
          <w:p w14:paraId="7B4414A3" w14:textId="59AC7AB7" w:rsidR="004824A6" w:rsidRPr="00DD28E5" w:rsidRDefault="00A638D6">
            <w:pPr>
              <w:keepNext/>
              <w:jc w:val="center"/>
            </w:pPr>
            <w:r w:rsidRPr="004D10B2">
              <w:t>0,00</w:t>
            </w:r>
            <w:r w:rsidR="005931E4" w:rsidRPr="004D10B2">
              <w:t xml:space="preserve"> </w:t>
            </w:r>
            <w:r w:rsidR="00385646" w:rsidRPr="004D10B2">
              <w:t>Kč</w:t>
            </w:r>
          </w:p>
        </w:tc>
        <w:tc>
          <w:tcPr>
            <w:tcW w:w="1764" w:type="dxa"/>
            <w:vAlign w:val="center"/>
          </w:tcPr>
          <w:p w14:paraId="7DD8AD98" w14:textId="732DF058" w:rsidR="004824A6" w:rsidRPr="00DD28E5" w:rsidRDefault="004824A6" w:rsidP="00B21F38">
            <w:pPr>
              <w:keepNext/>
              <w:jc w:val="center"/>
            </w:pPr>
          </w:p>
        </w:tc>
        <w:tc>
          <w:tcPr>
            <w:tcW w:w="1828" w:type="dxa"/>
            <w:vAlign w:val="center"/>
          </w:tcPr>
          <w:p w14:paraId="7C888E23" w14:textId="0274B8DB" w:rsidR="004824A6" w:rsidRPr="00DD28E5" w:rsidRDefault="00DD28E5" w:rsidP="004D10B2">
            <w:pPr>
              <w:keepNext/>
            </w:pPr>
            <w:r w:rsidRPr="004D10B2">
              <w:t> </w:t>
            </w:r>
            <w:r w:rsidR="00217C60" w:rsidRPr="00217C60">
              <w:t xml:space="preserve">-1 034 795,13 </w:t>
            </w:r>
            <w:r w:rsidR="00217C60">
              <w:t>K</w:t>
            </w:r>
            <w:r w:rsidR="00385646" w:rsidRPr="004D10B2">
              <w:t>č</w:t>
            </w:r>
          </w:p>
        </w:tc>
        <w:tc>
          <w:tcPr>
            <w:tcW w:w="1764" w:type="dxa"/>
            <w:vAlign w:val="center"/>
          </w:tcPr>
          <w:p w14:paraId="1DC1C08A" w14:textId="707F2BE4" w:rsidR="004824A6" w:rsidRPr="00DD28E5" w:rsidRDefault="004824A6">
            <w:pPr>
              <w:keepNext/>
              <w:jc w:val="center"/>
            </w:pPr>
          </w:p>
        </w:tc>
      </w:tr>
      <w:tr w:rsidR="004824A6" w14:paraId="6E7B0E9F" w14:textId="77777777" w:rsidTr="004D10B2">
        <w:trPr>
          <w:gridAfter w:val="2"/>
          <w:wAfter w:w="38" w:type="dxa"/>
        </w:trPr>
        <w:tc>
          <w:tcPr>
            <w:tcW w:w="2152" w:type="dxa"/>
          </w:tcPr>
          <w:p w14:paraId="14BD9600" w14:textId="0A5A6430" w:rsidR="004824A6" w:rsidRDefault="00C079C3">
            <w:pPr>
              <w:keepNext/>
            </w:pPr>
            <w:r>
              <w:t>Stavební náklady nezpůsobilé</w:t>
            </w:r>
          </w:p>
        </w:tc>
        <w:tc>
          <w:tcPr>
            <w:tcW w:w="1764" w:type="dxa"/>
            <w:vAlign w:val="center"/>
          </w:tcPr>
          <w:p w14:paraId="48302EEE" w14:textId="59C3BE91" w:rsidR="004824A6" w:rsidRPr="00DD28E5" w:rsidRDefault="00DD28E5" w:rsidP="00B21F38">
            <w:pPr>
              <w:keepNext/>
              <w:jc w:val="center"/>
            </w:pPr>
            <w:r w:rsidRPr="004D10B2">
              <w:t>1 687 146,07</w:t>
            </w:r>
            <w:r w:rsidR="00A638D6" w:rsidRPr="004D10B2">
              <w:t xml:space="preserve"> Kč</w:t>
            </w:r>
          </w:p>
        </w:tc>
        <w:tc>
          <w:tcPr>
            <w:tcW w:w="1764" w:type="dxa"/>
            <w:vAlign w:val="center"/>
          </w:tcPr>
          <w:p w14:paraId="7B852B63" w14:textId="618F9076" w:rsidR="004824A6" w:rsidRPr="00DD28E5" w:rsidRDefault="004824A6">
            <w:pPr>
              <w:keepNext/>
              <w:jc w:val="center"/>
            </w:pPr>
          </w:p>
        </w:tc>
        <w:tc>
          <w:tcPr>
            <w:tcW w:w="1828" w:type="dxa"/>
            <w:vAlign w:val="center"/>
          </w:tcPr>
          <w:p w14:paraId="3EDE6761" w14:textId="5005963C" w:rsidR="004824A6" w:rsidRPr="00DD28E5" w:rsidRDefault="00657311">
            <w:pPr>
              <w:keepNext/>
              <w:jc w:val="center"/>
            </w:pPr>
            <w:r w:rsidRPr="00657311">
              <w:t>-424 904,74</w:t>
            </w:r>
            <w:r w:rsidRPr="00657311" w:rsidDel="00DD28E5">
              <w:t xml:space="preserve"> </w:t>
            </w:r>
            <w:r w:rsidR="00A638D6" w:rsidRPr="004D10B2">
              <w:t>Kč</w:t>
            </w:r>
          </w:p>
        </w:tc>
        <w:tc>
          <w:tcPr>
            <w:tcW w:w="1764" w:type="dxa"/>
            <w:vAlign w:val="center"/>
          </w:tcPr>
          <w:p w14:paraId="7530DC29" w14:textId="68A2BFEE" w:rsidR="004824A6" w:rsidRPr="00DD28E5" w:rsidRDefault="00A638D6">
            <w:pPr>
              <w:keepNext/>
              <w:jc w:val="center"/>
            </w:pPr>
            <w:r w:rsidRPr="00DD28E5" w:rsidDel="00A638D6">
              <w:t xml:space="preserve"> </w:t>
            </w:r>
          </w:p>
        </w:tc>
      </w:tr>
      <w:tr w:rsidR="004824A6" w14:paraId="5744760D" w14:textId="77777777" w:rsidTr="004D10B2">
        <w:tc>
          <w:tcPr>
            <w:tcW w:w="2152" w:type="dxa"/>
          </w:tcPr>
          <w:p w14:paraId="01ECE22D" w14:textId="5C2CAEB1" w:rsidR="004824A6" w:rsidRDefault="004824A6" w:rsidP="00B21F38">
            <w:pPr>
              <w:keepNext/>
            </w:pPr>
            <w:r>
              <w:t xml:space="preserve">celkem ZL č. </w:t>
            </w:r>
            <w:r w:rsidR="003C54FB">
              <w:t xml:space="preserve">005 </w:t>
            </w:r>
            <w:r>
              <w:t>bez DPH</w:t>
            </w:r>
          </w:p>
        </w:tc>
        <w:tc>
          <w:tcPr>
            <w:tcW w:w="7158" w:type="dxa"/>
            <w:gridSpan w:val="6"/>
            <w:vAlign w:val="center"/>
          </w:tcPr>
          <w:p w14:paraId="77AD87ED" w14:textId="00DC95B7" w:rsidR="004824A6" w:rsidRPr="00D34F16" w:rsidRDefault="00D34F16" w:rsidP="00DD28E5">
            <w:pPr>
              <w:keepNext/>
              <w:jc w:val="center"/>
            </w:pPr>
            <w:r w:rsidRPr="001B12EA">
              <w:t> </w:t>
            </w:r>
            <w:r>
              <w:t>227</w:t>
            </w:r>
            <w:r w:rsidR="00DD28E5">
              <w:t> 446,20</w:t>
            </w:r>
            <w:r w:rsidRPr="001B12EA">
              <w:t xml:space="preserve"> Kč</w:t>
            </w:r>
          </w:p>
        </w:tc>
      </w:tr>
      <w:tr w:rsidR="004824A6" w14:paraId="28310219" w14:textId="77777777" w:rsidTr="004D10B2">
        <w:trPr>
          <w:trHeight w:val="70"/>
        </w:trPr>
        <w:tc>
          <w:tcPr>
            <w:tcW w:w="2152" w:type="dxa"/>
          </w:tcPr>
          <w:p w14:paraId="7871B14D" w14:textId="39975226" w:rsidR="004824A6" w:rsidRDefault="004824A6" w:rsidP="00B21F38">
            <w:pPr>
              <w:keepNext/>
            </w:pPr>
            <w:r>
              <w:t xml:space="preserve">celkem ZL č. </w:t>
            </w:r>
            <w:r w:rsidR="003C54FB">
              <w:t xml:space="preserve">005 </w:t>
            </w:r>
            <w:r>
              <w:t>vč. DPH</w:t>
            </w:r>
          </w:p>
        </w:tc>
        <w:tc>
          <w:tcPr>
            <w:tcW w:w="7158" w:type="dxa"/>
            <w:gridSpan w:val="6"/>
            <w:vAlign w:val="center"/>
          </w:tcPr>
          <w:p w14:paraId="3CABDC58" w14:textId="4F859502" w:rsidR="004824A6" w:rsidRPr="00D34F16" w:rsidRDefault="00D34F16" w:rsidP="001B12EA">
            <w:pPr>
              <w:keepNext/>
              <w:jc w:val="center"/>
            </w:pPr>
            <w:r w:rsidRPr="001B12EA">
              <w:t>275</w:t>
            </w:r>
            <w:r w:rsidR="00DD28E5">
              <w:t> 209,90</w:t>
            </w:r>
            <w:r w:rsidR="00385646" w:rsidRPr="00D34F16">
              <w:t xml:space="preserve"> Kč</w:t>
            </w:r>
          </w:p>
        </w:tc>
      </w:tr>
    </w:tbl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1B12EA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Pr="00657311" w:rsidRDefault="00D666C0" w:rsidP="0007765F">
            <w:pPr>
              <w:keepNext/>
            </w:pPr>
            <w:r w:rsidRPr="00657311">
              <w:t>Jméno odpovědné osoby projektanta:</w:t>
            </w:r>
          </w:p>
          <w:p w14:paraId="421C8FAC" w14:textId="5D4B214E" w:rsidR="00D666C0" w:rsidRPr="00657311" w:rsidRDefault="001B15D5" w:rsidP="0007765F">
            <w:pPr>
              <w:keepNext/>
            </w:pPr>
            <w:r w:rsidRPr="004D10B2">
              <w:t xml:space="preserve">Ing. </w:t>
            </w:r>
            <w:r w:rsidR="00C2311C" w:rsidRPr="004D10B2">
              <w:t>Milan Ulbrych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1B12EA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1F464987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1B12EA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4FD3A023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1B12EA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1B12EA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4AE601D5" w:rsidR="00BE1869" w:rsidRPr="00657311" w:rsidRDefault="00BE1869" w:rsidP="004E7D88">
            <w:pPr>
              <w:keepNext/>
            </w:pPr>
            <w:r w:rsidRPr="004D10B2">
              <w:t xml:space="preserve">Ing. Aleš </w:t>
            </w:r>
            <w:proofErr w:type="spellStart"/>
            <w:r w:rsidRPr="004D10B2">
              <w:t>Vocel</w:t>
            </w:r>
            <w:proofErr w:type="spellEnd"/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1B12EA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77777777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639463" w14:textId="77777777" w:rsidR="00FB5B81" w:rsidRDefault="00FB5B81" w:rsidP="00C550C4">
      <w:pPr>
        <w:spacing w:after="0" w:line="240" w:lineRule="auto"/>
      </w:pPr>
      <w:r>
        <w:separator/>
      </w:r>
    </w:p>
  </w:endnote>
  <w:endnote w:type="continuationSeparator" w:id="0">
    <w:p w14:paraId="3637B393" w14:textId="77777777" w:rsidR="00FB5B81" w:rsidRDefault="00FB5B81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65121231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4D10B2">
      <w:rPr>
        <w:noProof/>
      </w:rPr>
      <w:t>3</w:t>
    </w:r>
    <w:r w:rsidR="0029706B">
      <w:rPr>
        <w:noProof/>
      </w:rPr>
      <w:fldChar w:fldCharType="end"/>
    </w:r>
    <w:r>
      <w:t>/</w:t>
    </w:r>
    <w:r w:rsidR="004D10B2">
      <w:fldChar w:fldCharType="begin"/>
    </w:r>
    <w:r w:rsidR="004D10B2">
      <w:instrText xml:space="preserve"> NUMPAGES   \* MERGEFORMAT </w:instrText>
    </w:r>
    <w:r w:rsidR="004D10B2">
      <w:fldChar w:fldCharType="separate"/>
    </w:r>
    <w:r w:rsidR="004D10B2">
      <w:rPr>
        <w:noProof/>
      </w:rPr>
      <w:t>3</w:t>
    </w:r>
    <w:r w:rsidR="004D10B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8D19D" w14:textId="77777777" w:rsidR="00FB5B81" w:rsidRDefault="00FB5B81" w:rsidP="00C550C4">
      <w:pPr>
        <w:spacing w:after="0" w:line="240" w:lineRule="auto"/>
      </w:pPr>
      <w:r>
        <w:separator/>
      </w:r>
    </w:p>
  </w:footnote>
  <w:footnote w:type="continuationSeparator" w:id="0">
    <w:p w14:paraId="72B90E47" w14:textId="77777777" w:rsidR="00FB5B81" w:rsidRDefault="00FB5B81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5A814752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1B12EA">
      <w:rPr>
        <w:sz w:val="36"/>
      </w:rPr>
      <w:t>5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A7143"/>
    <w:multiLevelType w:val="hybridMultilevel"/>
    <w:tmpl w:val="AD508134"/>
    <w:lvl w:ilvl="0" w:tplc="AA68E8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BCA3C89"/>
    <w:multiLevelType w:val="hybridMultilevel"/>
    <w:tmpl w:val="FB347E18"/>
    <w:lvl w:ilvl="0" w:tplc="E38AEBD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44C520B"/>
    <w:multiLevelType w:val="hybridMultilevel"/>
    <w:tmpl w:val="F5CAD884"/>
    <w:lvl w:ilvl="0" w:tplc="28606D64">
      <w:start w:val="2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538B3"/>
    <w:rsid w:val="001B12EA"/>
    <w:rsid w:val="001B15D5"/>
    <w:rsid w:val="001E5688"/>
    <w:rsid w:val="00217C60"/>
    <w:rsid w:val="00241EEC"/>
    <w:rsid w:val="002920DE"/>
    <w:rsid w:val="0029706B"/>
    <w:rsid w:val="002B5892"/>
    <w:rsid w:val="002F346E"/>
    <w:rsid w:val="002F632A"/>
    <w:rsid w:val="00313C7E"/>
    <w:rsid w:val="003444C0"/>
    <w:rsid w:val="00361834"/>
    <w:rsid w:val="00384068"/>
    <w:rsid w:val="00385646"/>
    <w:rsid w:val="003B1723"/>
    <w:rsid w:val="003C54FB"/>
    <w:rsid w:val="003D04CF"/>
    <w:rsid w:val="003F18A8"/>
    <w:rsid w:val="00400794"/>
    <w:rsid w:val="004824A6"/>
    <w:rsid w:val="004B42CE"/>
    <w:rsid w:val="004C07AD"/>
    <w:rsid w:val="004D10B2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57311"/>
    <w:rsid w:val="006A34DC"/>
    <w:rsid w:val="006B020D"/>
    <w:rsid w:val="006F1BA7"/>
    <w:rsid w:val="006F741F"/>
    <w:rsid w:val="00724012"/>
    <w:rsid w:val="00762F29"/>
    <w:rsid w:val="007C3354"/>
    <w:rsid w:val="007D1DEF"/>
    <w:rsid w:val="007F0976"/>
    <w:rsid w:val="00807332"/>
    <w:rsid w:val="00863684"/>
    <w:rsid w:val="008745BB"/>
    <w:rsid w:val="008A242F"/>
    <w:rsid w:val="008A7DAD"/>
    <w:rsid w:val="008E131D"/>
    <w:rsid w:val="009419EA"/>
    <w:rsid w:val="009467B5"/>
    <w:rsid w:val="0096661B"/>
    <w:rsid w:val="009A24D1"/>
    <w:rsid w:val="009B661F"/>
    <w:rsid w:val="009F0C45"/>
    <w:rsid w:val="009F31F1"/>
    <w:rsid w:val="009F6050"/>
    <w:rsid w:val="00A0584D"/>
    <w:rsid w:val="00A5434E"/>
    <w:rsid w:val="00A638D6"/>
    <w:rsid w:val="00A9596A"/>
    <w:rsid w:val="00B05597"/>
    <w:rsid w:val="00B21F38"/>
    <w:rsid w:val="00B31807"/>
    <w:rsid w:val="00B60906"/>
    <w:rsid w:val="00BC7622"/>
    <w:rsid w:val="00BD4A79"/>
    <w:rsid w:val="00BE1869"/>
    <w:rsid w:val="00BF0E95"/>
    <w:rsid w:val="00BF3298"/>
    <w:rsid w:val="00C079C3"/>
    <w:rsid w:val="00C2311C"/>
    <w:rsid w:val="00C550C4"/>
    <w:rsid w:val="00C9536A"/>
    <w:rsid w:val="00CB59B5"/>
    <w:rsid w:val="00CE2ECD"/>
    <w:rsid w:val="00D34F16"/>
    <w:rsid w:val="00D55D42"/>
    <w:rsid w:val="00D666C0"/>
    <w:rsid w:val="00D777A4"/>
    <w:rsid w:val="00D95EA7"/>
    <w:rsid w:val="00DB0F62"/>
    <w:rsid w:val="00DC2F66"/>
    <w:rsid w:val="00DD28E5"/>
    <w:rsid w:val="00DE4076"/>
    <w:rsid w:val="00DF142B"/>
    <w:rsid w:val="00DF1446"/>
    <w:rsid w:val="00E4570C"/>
    <w:rsid w:val="00E51B10"/>
    <w:rsid w:val="00E66BD2"/>
    <w:rsid w:val="00E75EFA"/>
    <w:rsid w:val="00E76B40"/>
    <w:rsid w:val="00E85AEE"/>
    <w:rsid w:val="00E9459A"/>
    <w:rsid w:val="00E95997"/>
    <w:rsid w:val="00EB2DF5"/>
    <w:rsid w:val="00F645D5"/>
    <w:rsid w:val="00FB5B81"/>
    <w:rsid w:val="00FC1C8C"/>
    <w:rsid w:val="00FD1799"/>
    <w:rsid w:val="00FD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D34F16"/>
    <w:pPr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C4FE7-52F2-41C9-B7EF-5D37D0CFA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470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6</cp:revision>
  <cp:lastPrinted>2013-10-23T06:22:00Z</cp:lastPrinted>
  <dcterms:created xsi:type="dcterms:W3CDTF">2023-02-08T11:17:00Z</dcterms:created>
  <dcterms:modified xsi:type="dcterms:W3CDTF">2023-04-19T12:06:00Z</dcterms:modified>
</cp:coreProperties>
</file>